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6B" w:rsidRPr="0004456B" w:rsidRDefault="0004456B" w:rsidP="000445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0" w:name="do"/>
      <w:r>
        <w:rPr>
          <w:rFonts w:ascii="Verdana" w:eastAsia="Times New Roman" w:hAnsi="Verdana" w:cs="Times New Roman"/>
          <w:b/>
          <w:bCs/>
          <w:noProof/>
          <w:color w:val="333399"/>
          <w:sz w:val="20"/>
          <w:szCs w:val="20"/>
          <w:lang w:val="en-US"/>
        </w:rPr>
        <w:drawing>
          <wp:inline distT="0" distB="0" distL="0" distR="0">
            <wp:extent cx="95885" cy="95885"/>
            <wp:effectExtent l="0" t="0" r="0" b="0"/>
            <wp:docPr id="10" name="Picture 10" descr="D:\Documents and Settings\Andreea\Sintact 2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D:\Documents and Settings\Andreea\Sintact 2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HOTARÂRE nr. 1676 din 10 </w:t>
      </w:r>
      <w:proofErr w:type="spellStart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decembrie</w:t>
      </w:r>
      <w:proofErr w:type="spellEnd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2008 </w:t>
      </w:r>
      <w:proofErr w:type="spellStart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privind</w:t>
      </w:r>
      <w:proofErr w:type="spellEnd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aprobarea</w:t>
      </w:r>
      <w:proofErr w:type="spellEnd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Programului</w:t>
      </w:r>
      <w:proofErr w:type="spellEnd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national </w:t>
      </w:r>
      <w:proofErr w:type="spellStart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pentru</w:t>
      </w:r>
      <w:proofErr w:type="spellEnd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digitizarea</w:t>
      </w:r>
      <w:proofErr w:type="spellEnd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resurselor</w:t>
      </w:r>
      <w:proofErr w:type="spellEnd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culturale</w:t>
      </w:r>
      <w:proofErr w:type="spellEnd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nationale</w:t>
      </w:r>
      <w:proofErr w:type="spellEnd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crearea</w:t>
      </w:r>
      <w:proofErr w:type="spellEnd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Bibliotecii</w:t>
      </w:r>
      <w:proofErr w:type="spellEnd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Digitale</w:t>
      </w:r>
      <w:proofErr w:type="spellEnd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 xml:space="preserve"> a </w:t>
      </w:r>
      <w:proofErr w:type="spellStart"/>
      <w:r w:rsidRPr="0004456B">
        <w:rPr>
          <w:rFonts w:ascii="Verdana" w:eastAsia="Times New Roman" w:hAnsi="Verdana" w:cs="Times New Roman"/>
          <w:b/>
          <w:bCs/>
          <w:sz w:val="26"/>
          <w:szCs w:val="26"/>
          <w:lang w:val="en-US"/>
        </w:rPr>
        <w:t>României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br/>
      </w:r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Forma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sintetică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la data 31-oct-2013.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Acest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act a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fost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creat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utilizând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tehnologia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SintAct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®-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Acte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Sintetice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.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SintAct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®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şi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tehnologia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Acte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Sintetice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sunt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mărci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înregistrate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ale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Wolters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Kluwer.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1" w:name="do|pa1"/>
      <w:bookmarkEnd w:id="1"/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temeiul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art. 108 din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Constitutia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României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republicata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,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2" w:name="do|pa2"/>
      <w:bookmarkEnd w:id="2"/>
      <w:proofErr w:type="spellStart"/>
      <w:r w:rsidRPr="0004456B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Guvernul</w:t>
      </w:r>
      <w:proofErr w:type="spellEnd"/>
      <w:r w:rsidRPr="0004456B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României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adopta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prezenta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hotarâre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3" w:name="do|ar1"/>
      <w:r>
        <w:rPr>
          <w:rFonts w:ascii="Verdana" w:eastAsia="Times New Roman" w:hAnsi="Verdana" w:cs="Times New Roman"/>
          <w:b/>
          <w:bCs/>
          <w:noProof/>
          <w:color w:val="333399"/>
          <w:sz w:val="20"/>
          <w:szCs w:val="20"/>
          <w:lang w:val="en-US"/>
        </w:rPr>
        <w:drawing>
          <wp:inline distT="0" distB="0" distL="0" distR="0">
            <wp:extent cx="95885" cy="95885"/>
            <wp:effectExtent l="0" t="0" r="0" b="0"/>
            <wp:docPr id="9" name="Picture 9" descr="D:\Documents and Settings\Andreea\Sintact 2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D:\Documents and Settings\Andreea\Sintact 2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04456B">
        <w:rPr>
          <w:rFonts w:ascii="Verdana" w:eastAsia="Times New Roman" w:hAnsi="Verdana" w:cs="Times New Roman"/>
          <w:b/>
          <w:bCs/>
          <w:color w:val="0000AF"/>
          <w:lang w:val="en-US"/>
        </w:rPr>
        <w:t>Art. 1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4" w:name="do|ar1|al1"/>
      <w:bookmarkEnd w:id="4"/>
      <w:r w:rsidRPr="0004456B">
        <w:rPr>
          <w:rFonts w:ascii="Verdana" w:eastAsia="Times New Roman" w:hAnsi="Verdana" w:cs="Times New Roman"/>
          <w:b/>
          <w:bCs/>
          <w:color w:val="008F00"/>
          <w:sz w:val="20"/>
          <w:szCs w:val="20"/>
          <w:lang w:val="en-US"/>
        </w:rPr>
        <w:t>(1)</w:t>
      </w:r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Se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aproba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Programul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national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pentru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digitizarea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resurselor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culturale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nationale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crearea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Bibliotecii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Digitale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României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componenta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bibliotecii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digitale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europene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- Europeana.eu,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denumit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continuare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Program.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5" w:name="do|ar1|al2"/>
      <w:r>
        <w:rPr>
          <w:rFonts w:ascii="Verdana" w:eastAsia="Times New Roman" w:hAnsi="Verdana" w:cs="Times New Roman"/>
          <w:b/>
          <w:bCs/>
          <w:noProof/>
          <w:color w:val="333399"/>
          <w:sz w:val="20"/>
          <w:szCs w:val="20"/>
          <w:lang w:val="en-US"/>
        </w:rPr>
        <w:drawing>
          <wp:inline distT="0" distB="0" distL="0" distR="0">
            <wp:extent cx="95885" cy="95885"/>
            <wp:effectExtent l="0" t="0" r="0" b="0"/>
            <wp:docPr id="8" name="Picture 8" descr="D:\Documents and Settings\Andreea\Sintact 2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al2|_i" descr="D:\Documents and Settings\Andreea\Sintact 2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04456B">
        <w:rPr>
          <w:rFonts w:ascii="Verdana" w:eastAsia="Times New Roman" w:hAnsi="Verdana" w:cs="Times New Roman"/>
          <w:b/>
          <w:bCs/>
          <w:color w:val="008F00"/>
          <w:sz w:val="20"/>
          <w:szCs w:val="20"/>
          <w:lang w:val="en-US"/>
        </w:rPr>
        <w:t>(2)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Principiile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promovate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aplicarea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Programului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sunt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: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6" w:name="do|ar1|al2|lia"/>
      <w:bookmarkEnd w:id="6"/>
      <w:r w:rsidRPr="0004456B">
        <w:rPr>
          <w:rFonts w:ascii="Verdana" w:eastAsia="Times New Roman" w:hAnsi="Verdana" w:cs="Times New Roman"/>
          <w:b/>
          <w:bCs/>
          <w:color w:val="8F0000"/>
          <w:sz w:val="20"/>
          <w:szCs w:val="20"/>
          <w:lang w:val="en-US"/>
        </w:rPr>
        <w:t>a)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principiul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libertatii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informare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al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accesului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universal la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informatie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7" w:name="do|ar1|al2|lib"/>
      <w:bookmarkEnd w:id="7"/>
      <w:r w:rsidRPr="0004456B">
        <w:rPr>
          <w:rFonts w:ascii="Verdana" w:eastAsia="Times New Roman" w:hAnsi="Verdana" w:cs="Times New Roman"/>
          <w:b/>
          <w:bCs/>
          <w:color w:val="8F0000"/>
          <w:sz w:val="20"/>
          <w:szCs w:val="20"/>
          <w:lang w:val="en-US"/>
        </w:rPr>
        <w:t>b)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prezervarea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mostenirii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intelectuale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nationale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8" w:name="do|ar1|al2|lic"/>
      <w:bookmarkEnd w:id="8"/>
      <w:r w:rsidRPr="0004456B">
        <w:rPr>
          <w:rFonts w:ascii="Verdana" w:eastAsia="Times New Roman" w:hAnsi="Verdana" w:cs="Times New Roman"/>
          <w:b/>
          <w:bCs/>
          <w:color w:val="8F0000"/>
          <w:sz w:val="20"/>
          <w:szCs w:val="20"/>
          <w:lang w:val="en-US"/>
        </w:rPr>
        <w:t>c)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partajarea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resurselor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informationale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documentare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9" w:name="do|ar1|al2|lid"/>
      <w:bookmarkEnd w:id="9"/>
      <w:r w:rsidRPr="0004456B">
        <w:rPr>
          <w:rFonts w:ascii="Verdana" w:eastAsia="Times New Roman" w:hAnsi="Verdana" w:cs="Times New Roman"/>
          <w:b/>
          <w:bCs/>
          <w:color w:val="8F0000"/>
          <w:sz w:val="20"/>
          <w:szCs w:val="20"/>
          <w:lang w:val="en-US"/>
        </w:rPr>
        <w:t>d)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promovarea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unui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context informational multicultural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multilingvist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10" w:name="do|ar1|al2|lie"/>
      <w:bookmarkEnd w:id="10"/>
      <w:r w:rsidRPr="0004456B">
        <w:rPr>
          <w:rFonts w:ascii="Verdana" w:eastAsia="Times New Roman" w:hAnsi="Verdana" w:cs="Times New Roman"/>
          <w:b/>
          <w:bCs/>
          <w:color w:val="8F0000"/>
          <w:sz w:val="20"/>
          <w:szCs w:val="20"/>
          <w:lang w:val="en-US"/>
        </w:rPr>
        <w:t>e)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promovarea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noi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modele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informare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documentarea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pornindu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-se de la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tehnologiile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avansate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existente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11" w:name="do|ar1|al3"/>
      <w:r>
        <w:rPr>
          <w:rFonts w:ascii="Verdana" w:eastAsia="Times New Roman" w:hAnsi="Verdana" w:cs="Times New Roman"/>
          <w:b/>
          <w:bCs/>
          <w:noProof/>
          <w:color w:val="333399"/>
          <w:sz w:val="20"/>
          <w:szCs w:val="20"/>
          <w:lang w:val="en-US"/>
        </w:rPr>
        <w:drawing>
          <wp:inline distT="0" distB="0" distL="0" distR="0">
            <wp:extent cx="95885" cy="95885"/>
            <wp:effectExtent l="0" t="0" r="0" b="0"/>
            <wp:docPr id="7" name="Picture 7" descr="D:\Documents and Settings\Andreea\Sintact 2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al3|_i" descr="D:\Documents and Settings\Andreea\Sintact 2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r w:rsidRPr="0004456B">
        <w:rPr>
          <w:rFonts w:ascii="Verdana" w:eastAsia="Times New Roman" w:hAnsi="Verdana" w:cs="Times New Roman"/>
          <w:b/>
          <w:bCs/>
          <w:color w:val="008F00"/>
          <w:sz w:val="20"/>
          <w:szCs w:val="20"/>
          <w:lang w:val="en-US"/>
        </w:rPr>
        <w:t>(3)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Programul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are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principale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obiective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: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12" w:name="do|ar1|al3|lia"/>
      <w:bookmarkEnd w:id="12"/>
      <w:r w:rsidRPr="0004456B">
        <w:rPr>
          <w:rFonts w:ascii="Verdana" w:eastAsia="Times New Roman" w:hAnsi="Verdana" w:cs="Times New Roman"/>
          <w:b/>
          <w:bCs/>
          <w:color w:val="8F0000"/>
          <w:sz w:val="20"/>
          <w:szCs w:val="20"/>
          <w:lang w:val="en-US"/>
        </w:rPr>
        <w:t>a)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îmbunatatirea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coordonarea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eficientizarea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proceselor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digitizare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resurselor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culturale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la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nivel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national;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13" w:name="do|ar1|al3|lib"/>
      <w:bookmarkEnd w:id="13"/>
      <w:r w:rsidRPr="0004456B">
        <w:rPr>
          <w:rFonts w:ascii="Verdana" w:eastAsia="Times New Roman" w:hAnsi="Verdana" w:cs="Times New Roman"/>
          <w:b/>
          <w:bCs/>
          <w:color w:val="8F0000"/>
          <w:sz w:val="20"/>
          <w:szCs w:val="20"/>
          <w:lang w:val="en-US"/>
        </w:rPr>
        <w:t>b)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sporirea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numarului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resurse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culturale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reprezentative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digitizate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diversificarea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conservarea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acestora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14" w:name="do|ar1|al3|lic"/>
      <w:bookmarkEnd w:id="14"/>
      <w:r w:rsidRPr="0004456B">
        <w:rPr>
          <w:rFonts w:ascii="Verdana" w:eastAsia="Times New Roman" w:hAnsi="Verdana" w:cs="Times New Roman"/>
          <w:b/>
          <w:bCs/>
          <w:color w:val="8F0000"/>
          <w:sz w:val="20"/>
          <w:szCs w:val="20"/>
          <w:lang w:val="en-US"/>
        </w:rPr>
        <w:t>c)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cresterea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gradului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accesibilitate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publicului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utilizator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internet la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resursele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culturale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nationale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15" w:name="do|ar1|al4"/>
      <w:r>
        <w:rPr>
          <w:rFonts w:ascii="Verdana" w:eastAsia="Times New Roman" w:hAnsi="Verdana" w:cs="Times New Roman"/>
          <w:b/>
          <w:bCs/>
          <w:noProof/>
          <w:color w:val="333399"/>
          <w:sz w:val="20"/>
          <w:szCs w:val="20"/>
          <w:lang w:val="en-US"/>
        </w:rPr>
        <w:drawing>
          <wp:inline distT="0" distB="0" distL="0" distR="0">
            <wp:extent cx="95885" cy="95885"/>
            <wp:effectExtent l="0" t="0" r="0" b="0"/>
            <wp:docPr id="6" name="Picture 6" descr="D:\Documents and Settings\Andreea\Sintact 2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al4|_i" descr="D:\Documents and Settings\Andreea\Sintact 2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  <w:r w:rsidRPr="0004456B">
        <w:rPr>
          <w:rFonts w:ascii="Verdana" w:eastAsia="Times New Roman" w:hAnsi="Verdana" w:cs="Times New Roman"/>
          <w:b/>
          <w:bCs/>
          <w:color w:val="008F00"/>
          <w:sz w:val="20"/>
          <w:szCs w:val="20"/>
          <w:lang w:val="en-US"/>
        </w:rPr>
        <w:t>(4)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Programul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are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vedere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digitizarea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stocarea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resurselor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culturale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corespunzatoare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urmatoarelor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domenii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: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16" w:name="do|ar1|al4|lia"/>
      <w:bookmarkEnd w:id="16"/>
      <w:r w:rsidRPr="0004456B">
        <w:rPr>
          <w:rFonts w:ascii="Verdana" w:eastAsia="Times New Roman" w:hAnsi="Verdana" w:cs="Times New Roman"/>
          <w:b/>
          <w:bCs/>
          <w:color w:val="8F0000"/>
          <w:sz w:val="20"/>
          <w:szCs w:val="20"/>
          <w:lang w:val="en-US"/>
        </w:rPr>
        <w:t>a)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patrimoniul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scris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17" w:name="do|ar1|al4|lib"/>
      <w:bookmarkEnd w:id="17"/>
      <w:r w:rsidRPr="0004456B">
        <w:rPr>
          <w:rFonts w:ascii="Verdana" w:eastAsia="Times New Roman" w:hAnsi="Verdana" w:cs="Times New Roman"/>
          <w:b/>
          <w:bCs/>
          <w:color w:val="8F0000"/>
          <w:sz w:val="20"/>
          <w:szCs w:val="20"/>
          <w:lang w:val="en-US"/>
        </w:rPr>
        <w:t>b)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patrimoniul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cultural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mobil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18" w:name="do|ar1|al4|lic"/>
      <w:bookmarkEnd w:id="18"/>
      <w:r w:rsidRPr="0004456B">
        <w:rPr>
          <w:rFonts w:ascii="Verdana" w:eastAsia="Times New Roman" w:hAnsi="Verdana" w:cs="Times New Roman"/>
          <w:b/>
          <w:bCs/>
          <w:color w:val="8F0000"/>
          <w:sz w:val="20"/>
          <w:szCs w:val="20"/>
          <w:lang w:val="en-US"/>
        </w:rPr>
        <w:t>c)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patrimoniul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cultural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imobil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19" w:name="do|ar1|al4|lid"/>
      <w:bookmarkEnd w:id="19"/>
      <w:r w:rsidRPr="0004456B">
        <w:rPr>
          <w:rFonts w:ascii="Verdana" w:eastAsia="Times New Roman" w:hAnsi="Verdana" w:cs="Times New Roman"/>
          <w:b/>
          <w:bCs/>
          <w:color w:val="8F0000"/>
          <w:sz w:val="20"/>
          <w:szCs w:val="20"/>
          <w:lang w:val="en-US"/>
        </w:rPr>
        <w:t>d)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patrimoniul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audiovizual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20" w:name="do|ar1|al4|lie"/>
      <w:bookmarkEnd w:id="20"/>
      <w:r w:rsidRPr="0004456B">
        <w:rPr>
          <w:rFonts w:ascii="Verdana" w:eastAsia="Times New Roman" w:hAnsi="Verdana" w:cs="Times New Roman"/>
          <w:b/>
          <w:bCs/>
          <w:color w:val="8F0000"/>
          <w:sz w:val="20"/>
          <w:szCs w:val="20"/>
          <w:lang w:val="en-US"/>
        </w:rPr>
        <w:t>e)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patrimoniul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arhivistic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21" w:name="do|ar1|al5"/>
      <w:bookmarkEnd w:id="21"/>
      <w:r w:rsidRPr="0004456B">
        <w:rPr>
          <w:rFonts w:ascii="Verdana" w:eastAsia="Times New Roman" w:hAnsi="Verdana" w:cs="Times New Roman"/>
          <w:b/>
          <w:bCs/>
          <w:color w:val="008F00"/>
          <w:sz w:val="20"/>
          <w:szCs w:val="20"/>
          <w:lang w:val="en-US"/>
        </w:rPr>
        <w:t>(5)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Finantarea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Programului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se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asigura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din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sume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alocate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cu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aceasta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destinatie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ministerelor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implicate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aplicarea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Programului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la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bugetul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stat, din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fonduri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externe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rambursabile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nerambursabile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precum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din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alte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surse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conditiile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legii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22" w:name="do|ar2"/>
      <w:r>
        <w:rPr>
          <w:rFonts w:ascii="Verdana" w:eastAsia="Times New Roman" w:hAnsi="Verdana" w:cs="Times New Roman"/>
          <w:b/>
          <w:bCs/>
          <w:noProof/>
          <w:color w:val="333399"/>
          <w:sz w:val="20"/>
          <w:szCs w:val="20"/>
          <w:lang w:val="en-US"/>
        </w:rPr>
        <w:drawing>
          <wp:inline distT="0" distB="0" distL="0" distR="0">
            <wp:extent cx="95885" cy="95885"/>
            <wp:effectExtent l="0" t="0" r="0" b="0"/>
            <wp:docPr id="5" name="Picture 5" descr="D:\Documents and Settings\Andreea\Sintact 2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D:\Documents and Settings\Andreea\Sintact 2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"/>
      <w:r w:rsidRPr="0004456B">
        <w:rPr>
          <w:rFonts w:ascii="Verdana" w:eastAsia="Times New Roman" w:hAnsi="Verdana" w:cs="Times New Roman"/>
          <w:b/>
          <w:bCs/>
          <w:color w:val="0000AF"/>
          <w:lang w:val="en-US"/>
        </w:rPr>
        <w:t>Art. 2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23" w:name="do|ar2|al1"/>
      <w:bookmarkEnd w:id="23"/>
      <w:r w:rsidRPr="0004456B">
        <w:rPr>
          <w:rFonts w:ascii="Verdana" w:eastAsia="Times New Roman" w:hAnsi="Verdana" w:cs="Times New Roman"/>
          <w:b/>
          <w:bCs/>
          <w:color w:val="008F00"/>
          <w:sz w:val="20"/>
          <w:szCs w:val="20"/>
          <w:lang w:val="en-US"/>
        </w:rPr>
        <w:t>(1)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vederea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realizarii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obiectivelor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prevazute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la art. 1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alin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. (3), se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constituie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Comisia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pentru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implementarea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monitorizarea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Programului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denumita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continuare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Comisia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având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rol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decizie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strategica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fiind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formata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din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câte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un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reprezentant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al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Ministerului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Culturii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al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Ministerului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Internelor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Reformei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Administrative, al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Ministerului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Educatiei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Cercetarii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Tineretului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al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Ministerului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Comunicatiilor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Tehnologiei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Informatiei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desemnati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prin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ordine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ale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ministrilor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resort.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24" w:name="do|ar2|al2"/>
      <w:bookmarkEnd w:id="24"/>
      <w:r w:rsidRPr="0004456B">
        <w:rPr>
          <w:rFonts w:ascii="Verdana" w:eastAsia="Times New Roman" w:hAnsi="Verdana" w:cs="Times New Roman"/>
          <w:b/>
          <w:bCs/>
          <w:color w:val="008F00"/>
          <w:sz w:val="20"/>
          <w:szCs w:val="20"/>
          <w:lang w:val="en-US"/>
        </w:rPr>
        <w:t>(2)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Presedintia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Comisiei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este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asigurata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reprezentantul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Ministerului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Culturii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25" w:name="do|ar2|al3"/>
      <w:bookmarkEnd w:id="25"/>
      <w:r w:rsidRPr="0004456B">
        <w:rPr>
          <w:rFonts w:ascii="Verdana" w:eastAsia="Times New Roman" w:hAnsi="Verdana" w:cs="Times New Roman"/>
          <w:b/>
          <w:bCs/>
          <w:color w:val="008F00"/>
          <w:sz w:val="20"/>
          <w:szCs w:val="20"/>
          <w:lang w:val="en-US"/>
        </w:rPr>
        <w:t>(3)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Lucrarile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Comisiei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sunt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asigurate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un secretariat format din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specialisti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numiti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prin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ordin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al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ministrului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culturii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26" w:name="do|ar3"/>
      <w:r>
        <w:rPr>
          <w:rFonts w:ascii="Verdana" w:eastAsia="Times New Roman" w:hAnsi="Verdana" w:cs="Times New Roman"/>
          <w:b/>
          <w:bCs/>
          <w:noProof/>
          <w:color w:val="333399"/>
          <w:sz w:val="20"/>
          <w:szCs w:val="20"/>
          <w:lang w:val="en-US"/>
        </w:rPr>
        <w:drawing>
          <wp:inline distT="0" distB="0" distL="0" distR="0">
            <wp:extent cx="95885" cy="95885"/>
            <wp:effectExtent l="0" t="0" r="0" b="0"/>
            <wp:docPr id="4" name="Picture 4" descr="D:\Documents and Settings\Andreea\Sintact 2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D:\Documents and Settings\Andreea\Sintact 2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  <w:r w:rsidRPr="0004456B">
        <w:rPr>
          <w:rFonts w:ascii="Verdana" w:eastAsia="Times New Roman" w:hAnsi="Verdana" w:cs="Times New Roman"/>
          <w:b/>
          <w:bCs/>
          <w:color w:val="0000AF"/>
          <w:lang w:val="en-US"/>
        </w:rPr>
        <w:t>Art. 3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27" w:name="do|ar3|pa1"/>
      <w:bookmarkEnd w:id="27"/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Ministerul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Culturii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împreuna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cu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Ministerul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Internelor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Reformei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Administrative,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Ministerul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Educatiei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Cercetarii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Tineretului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Ministerul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Comunicatiilor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Tehnologiei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Informatiei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elaboreaza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termen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60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zile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la data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intrarii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vigoare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prezentei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hotarâri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Ghidul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operational al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Programului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care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va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cuprinde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: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conditii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modalitati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punere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aplicare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Programului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plan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actiuni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proiecte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prioritare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responsabilitati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termene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realizare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actiunilor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proiectelor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din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cadrul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Programului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modul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organizare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lastRenderedPageBreak/>
        <w:t>functionare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Comisiei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precum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alte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detalii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legate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implementarea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monitorizarea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Programului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aprobat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prin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ordin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comun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28" w:name="do|ar4"/>
      <w:r>
        <w:rPr>
          <w:rFonts w:ascii="Verdana" w:eastAsia="Times New Roman" w:hAnsi="Verdana" w:cs="Times New Roman"/>
          <w:b/>
          <w:bCs/>
          <w:noProof/>
          <w:color w:val="333399"/>
          <w:sz w:val="20"/>
          <w:szCs w:val="20"/>
          <w:lang w:val="en-US"/>
        </w:rPr>
        <w:drawing>
          <wp:inline distT="0" distB="0" distL="0" distR="0">
            <wp:extent cx="95885" cy="95885"/>
            <wp:effectExtent l="0" t="0" r="0" b="0"/>
            <wp:docPr id="3" name="Picture 3" descr="D:\Documents and Settings\Andreea\Sintact 2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D:\Documents and Settings\Andreea\Sintact 2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  <w:r w:rsidRPr="0004456B">
        <w:rPr>
          <w:rFonts w:ascii="Verdana" w:eastAsia="Times New Roman" w:hAnsi="Verdana" w:cs="Times New Roman"/>
          <w:b/>
          <w:bCs/>
          <w:color w:val="0000AF"/>
          <w:lang w:val="en-US"/>
        </w:rPr>
        <w:t>Art. 4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29" w:name="do|ar4|al1:2"/>
      <w:bookmarkEnd w:id="29"/>
      <w:r w:rsidRPr="0004456B">
        <w:rPr>
          <w:rFonts w:ascii="Verdana" w:eastAsia="Times New Roman" w:hAnsi="Verdana" w:cs="Times New Roman"/>
          <w:b/>
          <w:bCs/>
          <w:strike/>
          <w:color w:val="DC143C"/>
          <w:sz w:val="20"/>
          <w:szCs w:val="20"/>
          <w:lang w:val="en-US"/>
        </w:rPr>
        <w:t>(1)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procesul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implementare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a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Programului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Institutul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Memorie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Culturala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(CIMEC),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institutie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publica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aflata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subordinea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Ministerului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Culturii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Cultelor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, are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calitatea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agregator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national,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asigurând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interfata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dintre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furnizorii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continut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(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institutii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publice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sau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alte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organizatii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detinatoare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resurse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culturale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)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serviciile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tehnice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care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gestioneaza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programul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la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nivel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comunitar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.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30" w:name="do|ar4|al2:3"/>
      <w:bookmarkEnd w:id="30"/>
      <w:r w:rsidRPr="0004456B">
        <w:rPr>
          <w:rFonts w:ascii="Verdana" w:eastAsia="Times New Roman" w:hAnsi="Verdana" w:cs="Times New Roman"/>
          <w:b/>
          <w:bCs/>
          <w:strike/>
          <w:color w:val="DC143C"/>
          <w:sz w:val="20"/>
          <w:szCs w:val="20"/>
          <w:lang w:val="en-US"/>
        </w:rPr>
        <w:t>(2)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Pâna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la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realizarea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portalului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special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dedicat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Programului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stocarea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resurselor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culturale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digitizate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se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va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realiza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prin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extinderea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portalului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Cultur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@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pe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Net al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Ministerului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Culturii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Cultelor</w:t>
      </w:r>
      <w:proofErr w:type="spellEnd"/>
      <w:r w:rsidRPr="0004456B">
        <w:rPr>
          <w:rFonts w:ascii="Verdana" w:eastAsia="Times New Roman" w:hAnsi="Verdana" w:cs="Times New Roman"/>
          <w:strike/>
          <w:color w:val="DC143C"/>
          <w:sz w:val="20"/>
          <w:szCs w:val="20"/>
          <w:lang w:val="en-US"/>
        </w:rPr>
        <w:t>.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31" w:name="do|ar4|pa1"/>
      <w:bookmarkEnd w:id="31"/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procesul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implementare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a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Programului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Institutul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National al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Patrimoniului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institutie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publica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aflata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subordinea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Ministerului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Culturii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Patrimoniului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National, are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calitatea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agregator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national,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asigurând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interfata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dintre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furnizorii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continut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institutii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publice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sau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alte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organizatii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detinatoare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resurse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culturale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serviciile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tehnice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care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gestioneaza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programul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la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nivel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comunitar</w:t>
      </w:r>
      <w:proofErr w:type="spellEnd"/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t>.</w:t>
      </w:r>
      <w:r w:rsidRPr="0004456B">
        <w:rPr>
          <w:rFonts w:ascii="Verdana" w:eastAsia="Times New Roman" w:hAnsi="Verdana" w:cs="Times New Roman"/>
          <w:b/>
          <w:bCs/>
          <w:color w:val="003399"/>
          <w:sz w:val="20"/>
          <w:szCs w:val="20"/>
          <w:shd w:val="clear" w:color="auto" w:fill="D3D3D3"/>
          <w:lang w:val="en-US"/>
        </w:rPr>
        <w:br/>
      </w:r>
      <w:r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val="en-US"/>
        </w:rPr>
        <w:drawing>
          <wp:inline distT="0" distB="0" distL="0" distR="0">
            <wp:extent cx="85090" cy="85090"/>
            <wp:effectExtent l="0" t="0" r="0" b="0"/>
            <wp:docPr id="2" name="Picture 2" descr="D:\Documents and Settings\Andreea\Sintact 2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67_0006" descr="D:\Documents and Settings\Andreea\Sintact 2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56B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val="en-US"/>
        </w:rPr>
        <w:t xml:space="preserve">(la data 30-aug-2011 Art. 4 </w:t>
      </w:r>
      <w:proofErr w:type="spellStart"/>
      <w:r w:rsidRPr="0004456B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val="en-US"/>
        </w:rPr>
        <w:t>modificat</w:t>
      </w:r>
      <w:proofErr w:type="spellEnd"/>
      <w:r w:rsidRPr="0004456B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val="en-US"/>
        </w:rPr>
        <w:t xml:space="preserve"> de Art. III din </w:t>
      </w:r>
      <w:hyperlink r:id="rId8" w:anchor="do|ariii" w:history="1">
        <w:proofErr w:type="spellStart"/>
        <w:r w:rsidRPr="0004456B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val="en-US"/>
          </w:rPr>
          <w:t>Hotarirea</w:t>
        </w:r>
        <w:proofErr w:type="spellEnd"/>
        <w:r w:rsidRPr="0004456B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val="en-US"/>
          </w:rPr>
          <w:t xml:space="preserve"> 843/2011</w:t>
        </w:r>
      </w:hyperlink>
      <w:r w:rsidRPr="0004456B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val="en-US"/>
        </w:rPr>
        <w:t xml:space="preserve"> )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32" w:name="do|ar5"/>
      <w:r>
        <w:rPr>
          <w:rFonts w:ascii="Verdana" w:eastAsia="Times New Roman" w:hAnsi="Verdana" w:cs="Times New Roman"/>
          <w:b/>
          <w:bCs/>
          <w:noProof/>
          <w:color w:val="333399"/>
          <w:sz w:val="20"/>
          <w:szCs w:val="20"/>
          <w:lang w:val="en-US"/>
        </w:rPr>
        <w:drawing>
          <wp:inline distT="0" distB="0" distL="0" distR="0">
            <wp:extent cx="95885" cy="95885"/>
            <wp:effectExtent l="0" t="0" r="0" b="0"/>
            <wp:docPr id="1" name="Picture 1" descr="D:\Documents and Settings\Andreea\Sintact 2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D:\Documents and Settings\Andreea\Sintact 2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2"/>
      <w:r w:rsidRPr="0004456B">
        <w:rPr>
          <w:rFonts w:ascii="Verdana" w:eastAsia="Times New Roman" w:hAnsi="Verdana" w:cs="Times New Roman"/>
          <w:b/>
          <w:bCs/>
          <w:color w:val="0000AF"/>
          <w:lang w:val="en-US"/>
        </w:rPr>
        <w:t>Art. 5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33" w:name="do|ar5|al1"/>
      <w:bookmarkEnd w:id="33"/>
      <w:r w:rsidRPr="0004456B">
        <w:rPr>
          <w:rFonts w:ascii="Verdana" w:eastAsia="Times New Roman" w:hAnsi="Verdana" w:cs="Times New Roman"/>
          <w:b/>
          <w:bCs/>
          <w:color w:val="008F00"/>
          <w:sz w:val="20"/>
          <w:szCs w:val="20"/>
          <w:lang w:val="en-US"/>
        </w:rPr>
        <w:t>(1)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Pentru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asigurarea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coordonarii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achizitiilor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publice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din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cadrul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Programului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precum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monitorizarii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Programului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structura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Ministerului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Culturii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se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înfiinteaza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Unitatea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implementare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Programului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compartiment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care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va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functiona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cu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încadrarea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numarul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maxim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posturi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34" w:name="do|ar5|al2"/>
      <w:bookmarkEnd w:id="34"/>
      <w:r w:rsidRPr="0004456B">
        <w:rPr>
          <w:rFonts w:ascii="Verdana" w:eastAsia="Times New Roman" w:hAnsi="Verdana" w:cs="Times New Roman"/>
          <w:b/>
          <w:bCs/>
          <w:color w:val="008F00"/>
          <w:sz w:val="20"/>
          <w:szCs w:val="20"/>
          <w:lang w:val="en-US"/>
        </w:rPr>
        <w:t>(2)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Structura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organizatorica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precum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regulamentul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de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functionare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ale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compartimentului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prevazut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la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alin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. (1) se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stabilesc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prin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ordin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al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ministrului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culturii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si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cultelor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35" w:name="do|pa3"/>
      <w:bookmarkEnd w:id="35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-****-</w:t>
      </w:r>
    </w:p>
    <w:tbl>
      <w:tblPr>
        <w:tblW w:w="9675" w:type="dxa"/>
        <w:jc w:val="center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04456B" w:rsidRPr="0004456B" w:rsidTr="0004456B">
        <w:trPr>
          <w:tblCellSpacing w:w="0" w:type="dxa"/>
          <w:jc w:val="center"/>
        </w:trPr>
        <w:tc>
          <w:tcPr>
            <w:tcW w:w="0" w:type="auto"/>
            <w:hideMark/>
          </w:tcPr>
          <w:p w:rsidR="0004456B" w:rsidRPr="0004456B" w:rsidRDefault="0004456B" w:rsidP="000445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bookmarkStart w:id="36" w:name="do|pa4"/>
            <w:bookmarkEnd w:id="36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PRIM-MINISTRU</w:t>
            </w:r>
          </w:p>
          <w:p w:rsidR="0004456B" w:rsidRPr="0004456B" w:rsidRDefault="0004456B" w:rsidP="000445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0445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CALIN POPESCU-TARICEANU</w:t>
            </w:r>
          </w:p>
          <w:p w:rsidR="0004456B" w:rsidRPr="0004456B" w:rsidRDefault="0004456B" w:rsidP="000445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Contrasemneaza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:rsidR="0004456B" w:rsidRPr="0004456B" w:rsidRDefault="0004456B" w:rsidP="000445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p. </w:t>
            </w: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Ministrul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culturii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si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cultelor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,</w:t>
            </w:r>
          </w:p>
          <w:p w:rsidR="0004456B" w:rsidRPr="0004456B" w:rsidRDefault="0004456B" w:rsidP="000445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0445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Demeter </w:t>
            </w:r>
            <w:proofErr w:type="spellStart"/>
            <w:r w:rsidRPr="000445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Andras</w:t>
            </w:r>
            <w:proofErr w:type="spellEnd"/>
            <w:r w:rsidRPr="000445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5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Istvan</w:t>
            </w:r>
            <w:proofErr w:type="spellEnd"/>
            <w:r w:rsidRPr="000445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</w:p>
          <w:p w:rsidR="0004456B" w:rsidRPr="0004456B" w:rsidRDefault="0004456B" w:rsidP="000445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secretar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de stat</w:t>
            </w:r>
          </w:p>
          <w:p w:rsidR="0004456B" w:rsidRPr="0004456B" w:rsidRDefault="0004456B" w:rsidP="000445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Ministrul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internelor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si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reformei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administrative,</w:t>
            </w:r>
          </w:p>
          <w:p w:rsidR="0004456B" w:rsidRPr="0004456B" w:rsidRDefault="0004456B" w:rsidP="000445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445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Cristian</w:t>
            </w:r>
            <w:proofErr w:type="spellEnd"/>
            <w:r w:rsidRPr="000445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David</w:t>
            </w:r>
          </w:p>
          <w:p w:rsidR="0004456B" w:rsidRPr="0004456B" w:rsidRDefault="0004456B" w:rsidP="000445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Ministrul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muncii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familiei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si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egalitatii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sanse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,</w:t>
            </w:r>
          </w:p>
          <w:p w:rsidR="0004456B" w:rsidRPr="0004456B" w:rsidRDefault="0004456B" w:rsidP="000445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0445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Mariana </w:t>
            </w:r>
            <w:proofErr w:type="spellStart"/>
            <w:r w:rsidRPr="000445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Câmpeanu</w:t>
            </w:r>
            <w:proofErr w:type="spellEnd"/>
          </w:p>
          <w:p w:rsidR="0004456B" w:rsidRPr="0004456B" w:rsidRDefault="0004456B" w:rsidP="000445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Ministrul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economiei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si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finantelor</w:t>
            </w:r>
            <w:proofErr w:type="spellEnd"/>
            <w:r w:rsidRPr="000445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,</w:t>
            </w:r>
          </w:p>
          <w:p w:rsidR="0004456B" w:rsidRPr="0004456B" w:rsidRDefault="0004456B" w:rsidP="000445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445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Varujan</w:t>
            </w:r>
            <w:proofErr w:type="spellEnd"/>
            <w:r w:rsidRPr="000445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5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Vosganian</w:t>
            </w:r>
            <w:proofErr w:type="spellEnd"/>
          </w:p>
        </w:tc>
      </w:tr>
    </w:tbl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37" w:name="do|pa5"/>
      <w:bookmarkEnd w:id="37"/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Publicat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în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Monitorul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Oficial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cu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numarul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855 din data de 19 </w:t>
      </w:r>
      <w:proofErr w:type="spellStart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>decembrie</w:t>
      </w:r>
      <w:proofErr w:type="spellEnd"/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t xml:space="preserve"> 2008</w:t>
      </w:r>
    </w:p>
    <w:p w:rsidR="0004456B" w:rsidRPr="0004456B" w:rsidRDefault="0004456B" w:rsidP="000445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04456B">
        <w:rPr>
          <w:rFonts w:ascii="Verdana" w:eastAsia="Times New Roman" w:hAnsi="Verdana" w:cs="Times New Roman"/>
          <w:sz w:val="20"/>
          <w:szCs w:val="20"/>
          <w:lang w:val="en-US"/>
        </w:rPr>
        <w:br/>
      </w:r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Forma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sintetică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la data 31-oct-2013.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Acest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act a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fost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creat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utilizând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tehnologia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SintAct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®-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Acte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Sintetice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.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SintAct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®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şi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tehnologia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Acte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Sintetice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sunt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mărci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înregistrate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ale </w:t>
      </w:r>
      <w:proofErr w:type="spellStart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>Wolters</w:t>
      </w:r>
      <w:proofErr w:type="spellEnd"/>
      <w:r w:rsidRPr="0004456B">
        <w:rPr>
          <w:rFonts w:ascii="Verdana" w:eastAsia="Times New Roman" w:hAnsi="Verdana" w:cs="Times New Roman"/>
          <w:sz w:val="15"/>
          <w:szCs w:val="15"/>
          <w:lang w:val="en-US"/>
        </w:rPr>
        <w:t xml:space="preserve"> Kluwer.</w:t>
      </w:r>
    </w:p>
    <w:p w:rsidR="009927CA" w:rsidRDefault="009927CA">
      <w:bookmarkStart w:id="38" w:name="_GoBack"/>
      <w:bookmarkEnd w:id="38"/>
    </w:p>
    <w:sectPr w:rsidR="0099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6B"/>
    <w:rsid w:val="0004456B"/>
    <w:rsid w:val="009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56B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04456B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04456B"/>
  </w:style>
  <w:style w:type="character" w:customStyle="1" w:styleId="ar1">
    <w:name w:val="ar1"/>
    <w:basedOn w:val="DefaultParagraphFont"/>
    <w:rsid w:val="0004456B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04456B"/>
    <w:rPr>
      <w:b/>
      <w:bCs/>
      <w:color w:val="008F00"/>
    </w:rPr>
  </w:style>
  <w:style w:type="character" w:customStyle="1" w:styleId="tal1">
    <w:name w:val="tal1"/>
    <w:basedOn w:val="DefaultParagraphFont"/>
    <w:rsid w:val="0004456B"/>
  </w:style>
  <w:style w:type="character" w:customStyle="1" w:styleId="li1">
    <w:name w:val="li1"/>
    <w:basedOn w:val="DefaultParagraphFont"/>
    <w:rsid w:val="0004456B"/>
    <w:rPr>
      <w:b/>
      <w:bCs/>
      <w:color w:val="8F0000"/>
    </w:rPr>
  </w:style>
  <w:style w:type="character" w:customStyle="1" w:styleId="tli1">
    <w:name w:val="tli1"/>
    <w:basedOn w:val="DefaultParagraphFont"/>
    <w:rsid w:val="0004456B"/>
  </w:style>
  <w:style w:type="character" w:customStyle="1" w:styleId="ala1">
    <w:name w:val="al_a1"/>
    <w:basedOn w:val="DefaultParagraphFont"/>
    <w:rsid w:val="0004456B"/>
    <w:rPr>
      <w:b/>
      <w:bCs/>
      <w:strike/>
      <w:color w:val="DC143C"/>
    </w:rPr>
  </w:style>
  <w:style w:type="character" w:customStyle="1" w:styleId="tala1">
    <w:name w:val="tal_a1"/>
    <w:basedOn w:val="DefaultParagraphFont"/>
    <w:rsid w:val="0004456B"/>
    <w:rPr>
      <w:strike/>
      <w:color w:val="DC143C"/>
    </w:rPr>
  </w:style>
  <w:style w:type="character" w:customStyle="1" w:styleId="lego1">
    <w:name w:val="lego1"/>
    <w:basedOn w:val="DefaultParagraphFont"/>
    <w:rsid w:val="0004456B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6B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56B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04456B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04456B"/>
  </w:style>
  <w:style w:type="character" w:customStyle="1" w:styleId="ar1">
    <w:name w:val="ar1"/>
    <w:basedOn w:val="DefaultParagraphFont"/>
    <w:rsid w:val="0004456B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04456B"/>
    <w:rPr>
      <w:b/>
      <w:bCs/>
      <w:color w:val="008F00"/>
    </w:rPr>
  </w:style>
  <w:style w:type="character" w:customStyle="1" w:styleId="tal1">
    <w:name w:val="tal1"/>
    <w:basedOn w:val="DefaultParagraphFont"/>
    <w:rsid w:val="0004456B"/>
  </w:style>
  <w:style w:type="character" w:customStyle="1" w:styleId="li1">
    <w:name w:val="li1"/>
    <w:basedOn w:val="DefaultParagraphFont"/>
    <w:rsid w:val="0004456B"/>
    <w:rPr>
      <w:b/>
      <w:bCs/>
      <w:color w:val="8F0000"/>
    </w:rPr>
  </w:style>
  <w:style w:type="character" w:customStyle="1" w:styleId="tli1">
    <w:name w:val="tli1"/>
    <w:basedOn w:val="DefaultParagraphFont"/>
    <w:rsid w:val="0004456B"/>
  </w:style>
  <w:style w:type="character" w:customStyle="1" w:styleId="ala1">
    <w:name w:val="al_a1"/>
    <w:basedOn w:val="DefaultParagraphFont"/>
    <w:rsid w:val="0004456B"/>
    <w:rPr>
      <w:b/>
      <w:bCs/>
      <w:strike/>
      <w:color w:val="DC143C"/>
    </w:rPr>
  </w:style>
  <w:style w:type="character" w:customStyle="1" w:styleId="tala1">
    <w:name w:val="tal_a1"/>
    <w:basedOn w:val="DefaultParagraphFont"/>
    <w:rsid w:val="0004456B"/>
    <w:rPr>
      <w:strike/>
      <w:color w:val="DC143C"/>
    </w:rPr>
  </w:style>
  <w:style w:type="character" w:customStyle="1" w:styleId="lego1">
    <w:name w:val="lego1"/>
    <w:basedOn w:val="DefaultParagraphFont"/>
    <w:rsid w:val="0004456B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6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0505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  <w:div w:id="1738702767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243413681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1198196017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937714306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336929471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71181082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  <w:div w:id="156402860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  <w:div w:id="150643672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9900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  <w:div w:id="17919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  <w:div w:id="17312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  <w:div w:id="11070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  <w:div w:id="28443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</w:divsChild>
                    </w:div>
                    <w:div w:id="89623748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  <w:div w:id="36105884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8405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  <w:div w:id="1410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  <w:div w:id="5549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</w:divsChild>
                    </w:div>
                    <w:div w:id="47641172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  <w:div w:id="14526289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18187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  <w:div w:id="398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  <w:div w:id="8479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  <w:div w:id="1048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  <w:div w:id="7114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</w:divsChild>
                    </w:div>
                    <w:div w:id="123026611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  <w:div w:id="423456144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1290236251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127778612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  <w:div w:id="104749362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  <w:div w:id="64450893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  <w:div w:id="1269117426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2006855278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37010853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  <w:div w:id="980647619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316424415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63113617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  <w:div w:id="15414612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  <w:div w:id="99151801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  <w:div w:id="1213731874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190454425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201398982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  <w:div w:id="89516437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0" w:color="FFFFFF"/>
                        <w:bottom w:val="dashed" w:sz="6" w:space="0" w:color="FFFFFF"/>
                        <w:right w:val="dashed" w:sz="6" w:space="0" w:color="FFFFFF"/>
                      </w:divBdr>
                    </w:div>
                  </w:divsChild>
                </w:div>
                <w:div w:id="2139832326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366223400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  <w:div w:id="709568481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Andreea\Sintact%202.0\cache\Legislatie\temp\00142367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file:///D:\Documents%20and%20Settings\Andreea\Sintact%202.0\cache\Legislatie\temp\0011764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Andreea</cp:lastModifiedBy>
  <cp:revision>1</cp:revision>
  <dcterms:created xsi:type="dcterms:W3CDTF">2013-10-31T10:29:00Z</dcterms:created>
  <dcterms:modified xsi:type="dcterms:W3CDTF">2013-10-31T10:30:00Z</dcterms:modified>
</cp:coreProperties>
</file>